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6FD" w:rsidRDefault="00521C97">
      <w:r>
        <w:rPr>
          <w:noProof/>
          <w:lang w:eastAsia="pt-BR"/>
        </w:rPr>
        <w:pict>
          <v:rect id="_x0000_s1026" style="position:absolute;margin-left:102.45pt;margin-top:298.9pt;width:45pt;height:7.15pt;z-index:251658240" fillcolor="white [3212]"/>
        </w:pict>
      </w:r>
      <w:r>
        <w:rPr>
          <w:noProof/>
          <w:lang w:eastAsia="pt-BR"/>
        </w:rPr>
        <w:drawing>
          <wp:inline distT="0" distB="0" distL="0" distR="0">
            <wp:extent cx="5400040" cy="6988287"/>
            <wp:effectExtent l="19050" t="0" r="0" b="0"/>
            <wp:docPr id="1" name="Imagem 1" descr="C:\Users\User\AppData\Local\Temp\BancoImobiliario-Anex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BancoImobiliario-Anexo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988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66FD" w:rsidSect="005166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1C97"/>
    <w:rsid w:val="005166FD"/>
    <w:rsid w:val="00521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6F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21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1C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2015-06-26T12:44:00Z</dcterms:created>
  <dcterms:modified xsi:type="dcterms:W3CDTF">2015-06-26T12:46:00Z</dcterms:modified>
</cp:coreProperties>
</file>